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12EF4" w:rsidP="00912EF4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912EF4" w:rsidP="00912EF4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912EF4" w:rsidP="00912EF4">
      <w:pPr>
        <w:jc w:val="center"/>
        <w:rPr>
          <w:sz w:val="26"/>
          <w:szCs w:val="26"/>
        </w:rPr>
      </w:pPr>
    </w:p>
    <w:p w:rsidR="00912EF4" w:rsidP="00912EF4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31 января 2025 года</w:t>
      </w:r>
    </w:p>
    <w:p w:rsidR="00912EF4" w:rsidP="00912EF4">
      <w:pPr>
        <w:jc w:val="both"/>
        <w:rPr>
          <w:sz w:val="26"/>
          <w:szCs w:val="26"/>
        </w:rPr>
      </w:pPr>
    </w:p>
    <w:p w:rsidR="00912EF4" w:rsidP="00912EF4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912EF4" w:rsidP="00912E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№5-72-2802/2025,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815DFD">
        <w:t>**</w:t>
      </w:r>
      <w:r w:rsidR="00815DFD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912EF4" w:rsidP="00912EF4">
      <w:pPr>
        <w:jc w:val="center"/>
        <w:rPr>
          <w:b/>
          <w:sz w:val="26"/>
          <w:szCs w:val="26"/>
        </w:rPr>
      </w:pPr>
    </w:p>
    <w:p w:rsidR="00912EF4" w:rsidP="00912EF4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912EF4" w:rsidP="00912EF4">
      <w:pPr>
        <w:jc w:val="center"/>
        <w:rPr>
          <w:sz w:val="26"/>
          <w:szCs w:val="26"/>
        </w:rPr>
      </w:pPr>
    </w:p>
    <w:p w:rsidR="00912EF4" w:rsidP="00912EF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27.11.2024 в 00 час. 01 мин. Алимов А.М., проживающий по адресу</w:t>
      </w:r>
      <w:r w:rsidR="00815DFD">
        <w:t>**</w:t>
      </w:r>
      <w:r w:rsidR="00815DFD"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815DFD">
        <w:t xml:space="preserve">***  </w:t>
      </w:r>
      <w:r>
        <w:rPr>
          <w:sz w:val="26"/>
          <w:szCs w:val="26"/>
        </w:rPr>
        <w:t>от 16.09.2024.</w:t>
      </w:r>
    </w:p>
    <w:p w:rsidR="00912EF4" w:rsidP="00912EF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912EF4" w:rsidP="00912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912EF4" w:rsidP="00912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912EF4" w:rsidP="00912EF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912EF4" w:rsidP="00912EF4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912EF4" w:rsidP="00912E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12EF4" w:rsidP="00912EF4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912EF4" w:rsidP="00912EF4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912EF4" w:rsidP="00912EF4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912EF4" w:rsidP="00912EF4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912EF4" w:rsidP="00912EF4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912EF4" w:rsidP="00912EF4">
      <w:pPr>
        <w:jc w:val="center"/>
        <w:rPr>
          <w:b/>
          <w:snapToGrid w:val="0"/>
          <w:color w:val="000000"/>
          <w:sz w:val="26"/>
          <w:szCs w:val="26"/>
        </w:rPr>
      </w:pPr>
    </w:p>
    <w:p w:rsidR="00912EF4" w:rsidP="00912EF4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912EF4" w:rsidP="00912EF4">
      <w:pPr>
        <w:jc w:val="center"/>
        <w:rPr>
          <w:snapToGrid w:val="0"/>
          <w:color w:val="000000"/>
          <w:sz w:val="26"/>
          <w:szCs w:val="26"/>
        </w:rPr>
      </w:pPr>
    </w:p>
    <w:p w:rsidR="00912EF4" w:rsidP="00912EF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815DFD"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912EF4" w:rsidP="00912EF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12EF4" w:rsidP="00912EF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912EF4" w:rsidP="00912EF4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912EF4" w:rsidP="00912EF4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912EF4">
        <w:rPr>
          <w:bCs/>
          <w:color w:val="000000" w:themeColor="text1"/>
          <w:sz w:val="26"/>
          <w:szCs w:val="26"/>
        </w:rPr>
        <w:t>0412365400715000722520178</w:t>
      </w: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12EF4" w:rsidP="00912EF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912EF4" w:rsidP="00912EF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912EF4" w:rsidP="00912EF4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912EF4" w:rsidP="00912EF4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12EF4" w:rsidP="00912EF4"/>
    <w:p w:rsidR="00D5567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35"/>
    <w:rsid w:val="00815DFD"/>
    <w:rsid w:val="00912EF4"/>
    <w:rsid w:val="00D55435"/>
    <w:rsid w:val="00D556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7C9ED1F-4FA6-4DB5-9CF0-8D681C68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12EF4"/>
    <w:rPr>
      <w:color w:val="0000FF"/>
      <w:u w:val="single"/>
    </w:rPr>
  </w:style>
  <w:style w:type="paragraph" w:styleId="Title">
    <w:name w:val="Title"/>
    <w:basedOn w:val="Normal"/>
    <w:link w:val="a"/>
    <w:qFormat/>
    <w:rsid w:val="00912EF4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12EF4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12EF4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12E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912EF4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912EF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12EF4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12EF4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12EF4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12E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